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sz w:val="44"/>
          <w:szCs w:val="44"/>
          <w:lang w:val="en-US" w:eastAsia="zh-CN"/>
        </w:rPr>
      </w:pPr>
      <w:r>
        <w:rPr>
          <w:rFonts w:hint="eastAsia"/>
          <w:sz w:val="44"/>
          <w:szCs w:val="44"/>
          <w:lang w:val="en-US" w:eastAsia="zh-CN"/>
        </w:rPr>
        <w:t>2015年度纪委监察局部门决算公开内容</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560" w:lineRule="exact"/>
        <w:ind w:left="0" w:leftChars="0" w:right="0" w:rightChars="0" w:firstLine="480" w:firstLineChars="200"/>
        <w:jc w:val="left"/>
        <w:textAlignment w:val="auto"/>
        <w:outlineLvl w:val="9"/>
        <w:rPr>
          <w:rFonts w:hint="eastAsia" w:ascii="仿宋_GB2312" w:hAnsi="仿宋_GB2312" w:eastAsia="仿宋_GB2312" w:cs="仿宋_GB2312"/>
          <w:b/>
          <w:bCs/>
          <w:color w:val="000000"/>
          <w:kern w:val="0"/>
          <w:sz w:val="36"/>
          <w:szCs w:val="36"/>
          <w:lang w:val="en-US" w:eastAsia="zh-CN" w:bidi="ar"/>
        </w:rPr>
      </w:pPr>
      <w:r>
        <w:rPr>
          <w:rFonts w:hint="eastAsia" w:ascii="仿宋_GB2312" w:hAnsi="仿宋_GB2312" w:eastAsia="仿宋_GB2312" w:cs="仿宋_GB2312"/>
          <w:b/>
          <w:bCs/>
          <w:color w:val="000000"/>
          <w:kern w:val="0"/>
          <w:sz w:val="36"/>
          <w:szCs w:val="36"/>
          <w:lang w:val="en-US" w:eastAsia="zh-CN" w:bidi="ar"/>
        </w:rPr>
        <w:t>第一部分  部门概况</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560" w:lineRule="exact"/>
        <w:ind w:left="0" w:leftChars="0" w:right="0" w:rightChars="0" w:firstLine="480" w:firstLineChars="200"/>
        <w:jc w:val="left"/>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一、主要职能</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560" w:lineRule="exact"/>
        <w:ind w:left="0" w:leftChars="0" w:right="0" w:rightChars="0" w:firstLine="480" w:firstLineChars="200"/>
        <w:jc w:val="left"/>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市纪律检查委员会履行党的纪律检查和政府行政监察两种职能，对市委全面负责。监察局列入市政府工作部门，接受市政府领导。市纪委机关与市监察局合署办公，实行一套工作机构，两个机关名称的体制。其主要职责是：</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560" w:lineRule="exact"/>
        <w:ind w:left="0" w:leftChars="0" w:right="0" w:rightChars="0" w:firstLine="480" w:firstLineChars="200"/>
        <w:jc w:val="left"/>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 xml:space="preserve">1、主管全市党的纪律检查工作，贯彻落实中央和省市关于加强党风廉政建设的决定，维护党的章程和其他党内法规，检查党的路线、方针、政策和决议的执行情况；负责全市党风廉政建设和反腐败的组织协调工作；协助市委、市政府对下一级党政领导班子和领导干部执行党风廉政责任制的情况进行检查考核。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560" w:lineRule="exact"/>
        <w:ind w:left="0" w:leftChars="0" w:right="0" w:rightChars="0" w:firstLine="480" w:firstLineChars="200"/>
        <w:jc w:val="left"/>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2、主管全市行政监察工作，贯彻落实《行政监察法》以及国务院和省、市有关行政监察工作的决定，监督检查市政府各部门及其工作人员、市政府任命的其他人员执行国家政策和法律法规、国民经济和社会发展计划以及国务院和省、市政府颁发的决议、决定和命令的情况。</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560" w:lineRule="exact"/>
        <w:ind w:left="0" w:leftChars="0" w:right="0" w:rightChars="0" w:firstLine="480" w:firstLineChars="200"/>
        <w:jc w:val="left"/>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3、检查和处理市级机关各部门、市直属单位（含党组织关系在我市的单位）党员领导干部违反党的章程以及其他党内法规的案件，决定或取消对这些案件中的党员的处分；受理党员的控告和申诉，必要时直接查处下级党的纪律检查部门管辖范围内的比较重要或复杂的案件。</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560" w:lineRule="exact"/>
        <w:ind w:left="0" w:leftChars="0" w:right="0" w:rightChars="0" w:firstLine="480" w:firstLineChars="200"/>
        <w:jc w:val="left"/>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lang w:val="en-US" w:eastAsia="zh-CN" w:bidi="ar"/>
        </w:rPr>
        <w:t>4、受理对国家行政机关、国家公务员和国家行政机关任命的其他人员违反行政纪律行为的控告、检举；调查处理国家行政机关、国家公务员和国家行政机关任命的其他人员违反行政纪律的行为；受理国家公务员和国家行政机关任命的其他人员不服主管行政机关给予行政处分决定的申诉，以及法律、法规规定的其他由监察机关受理的申诉。</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560" w:lineRule="exact"/>
        <w:ind w:left="0" w:leftChars="0" w:right="0" w:rightChars="0" w:firstLine="480" w:firstLineChars="200"/>
        <w:jc w:val="left"/>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lang w:val="en-US" w:eastAsia="zh-CN" w:bidi="ar"/>
        </w:rPr>
        <w:t>5、作出关于维护党纪的决定，制定党风党纪教育规划，会同有关部门做好党的纪律检查、行政监察工作方针、政策和法律、法规的宣传工作，教育党员、国家机关工作人员遵纪守法、清正廉洁。</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560" w:lineRule="exact"/>
        <w:ind w:left="0" w:leftChars="0" w:right="0" w:rightChars="0" w:firstLine="480" w:firstLineChars="200"/>
        <w:jc w:val="left"/>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lang w:val="en-US" w:eastAsia="zh-CN" w:bidi="ar"/>
        </w:rPr>
        <w:t>6、对党的纪律检查工作和党风廉政建设及其政策问题进行调查研究，研究起草和拟定党风廉政规定和制度。</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560" w:lineRule="exact"/>
        <w:ind w:left="0" w:leftChars="0" w:right="0" w:rightChars="0" w:firstLine="480" w:firstLineChars="200"/>
        <w:jc w:val="left"/>
        <w:textAlignment w:val="auto"/>
        <w:outlineLvl w:val="9"/>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kern w:val="0"/>
          <w:sz w:val="32"/>
          <w:szCs w:val="32"/>
          <w:lang w:val="en-US" w:eastAsia="zh-CN" w:bidi="ar"/>
        </w:rPr>
        <w:t>7、会同市委组织部及有关部门做好纪检监察干部的管理工作，审核镇（市、园）、部门纪（工）委、监察室领导干部人选的提名、考察（其中纪工委书记人选的提名、考察会同市委组织部共同进行），按干部管理权限任免或提出任免意见；组织和指导全市纪检监察系统干部培训工作。</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 xml:space="preserve">    8、承办市委、市政府授权和交办的其他事项。</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 xml:space="preserve">   二、决算单位构成情况</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480"/>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市纪委监察局设11个内设机构：办公室、干部监督管理室、宣教调研室、党风政风监督室、信访室（市行政监察举报中心）、案件监督管理室、纪检监察一室、纪检监察二室、纪检监察三室、纪检监察四室、案件审理室。</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480"/>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5个派出机构：农村纪检监察工作一室、二室、三室，机关工作室、审计工作室</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480"/>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下属二个事业单位：启东市党风廉政教育中心、12345热线服务中心</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firstLine="480"/>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代管单位：市效能办</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80" w:firstLineChars="0"/>
        <w:jc w:val="both"/>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预算单位共3个：市纪委监察局、市效能办、12345热线服务中心，经费管理方式为财政全额拨款。</w:t>
      </w:r>
    </w:p>
    <w:p>
      <w:pPr>
        <w:keepNext w:val="0"/>
        <w:keepLines w:val="0"/>
        <w:pageBreakBefore w:val="0"/>
        <w:numPr>
          <w:ilvl w:val="0"/>
          <w:numId w:val="0"/>
        </w:numPr>
        <w:kinsoku/>
        <w:wordWrap/>
        <w:overflowPunct/>
        <w:topLinePunct w:val="0"/>
        <w:autoSpaceDE/>
        <w:autoSpaceDN/>
        <w:bidi w:val="0"/>
        <w:adjustRightInd/>
        <w:snapToGrid/>
        <w:spacing w:line="560" w:lineRule="exact"/>
        <w:ind w:left="0" w:leftChars="0" w:right="0" w:rightChars="0"/>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 xml:space="preserve">    三、2015年度主要完成工作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80" w:firstLineChars="0"/>
        <w:jc w:val="both"/>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 xml:space="preserve"> 1、惩治腐败力度加大，立案查处各类违纪违法案件320件，同比增79.77%，受党纪政纪处分288人，同比增64.57%，移送司法机关7人，受诫勉谈话11人，查办信访件823件，其中省委巡视组下转信访件126件，南通市纪委下转信访件347件，受理12345热线电话举报67个，网络举报53件。</w:t>
      </w:r>
    </w:p>
    <w:p>
      <w:pPr>
        <w:spacing w:line="560" w:lineRule="exact"/>
        <w:ind w:firstLine="640" w:firstLineChars="200"/>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2、深入落实两个责任，形成齐抓共管的格局。健全工作制度。明确了党委的8大主体责任，领导班子成员的6大主体责任，纪委的7大监督责任和6项保障措施，对拟提拔表彰的干部廉政审查。促进各方坚守责任担当。</w:t>
      </w:r>
    </w:p>
    <w:p>
      <w:pPr>
        <w:spacing w:line="560" w:lineRule="exact"/>
        <w:ind w:firstLine="640" w:firstLineChars="200"/>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一是实化制度执行。根据市委《关于落实党风廉政建设党委主体责任、纪委监督责任的实施意见（试行）》，我们认真落实书面接受并专题听取工作报告制度。对基层党委（党组）履行主体责任、党委（党组）主要负责人履行“第一责任人”责任、基层纪委（纪检组）履行监督责任的报告，专门组织审阅，对报告不全面、不清晰、敷衍应付的，责成重报。实施拟提拔干部廉政审查制度。与组织部门保持经常性沟通联系，及时掌握干部变动情况。凡拟提拔的市管干部，都在提交市委常委会研究之前，纪委逐一进行廉政审查，努力防止“带病”提拔。全面推行廉情约谈，重点了解落实“两个责任”情况，提出工作要求，推进责任落实。2015年，约谈各类对象60多人，增强了党员领导干部“一岗双责”和廉洁自律意识。</w:t>
      </w:r>
    </w:p>
    <w:p>
      <w:pPr>
        <w:spacing w:line="560" w:lineRule="exact"/>
        <w:ind w:firstLine="640" w:firstLineChars="200"/>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二是强化协调推进。在市委的统一领导下，充分发挥反腐败组织协调作用，定期组织召开由纪委监察局、组织部、政法委、公安局、检察院、法院、审计局等7家成员单位组成的反腐败协调小组会议，不断完善各项工作制度，合力推进惩治和预防腐败各项工作。创新党风廉政建设考评方式。为改变党风廉政建设“平时不抓评时抓”的情况，2015年，实行一季度一考评。考评克服原来的重台账重记录倾向，要求各单位在QQ群即时汇报工作推进情况，每季度以PPT形式进行汇报，力争问题及时发现查处，及时整改到位。</w:t>
      </w:r>
    </w:p>
    <w:p>
      <w:pPr>
        <w:spacing w:line="560" w:lineRule="exact"/>
        <w:ind w:firstLine="640" w:firstLineChars="200"/>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三是硬化责任追究。协助市委制订出台了《关于实施党风廉政建设责任追究的办法（试行）》，对违反党的政治纪律和政治规矩、组织纪律，“四风”问题突出、发生顶风违纪问题，出现区域性、系统性腐败案件的地方、部门和单位，坚决实行“一案双查”，既追究主体责任、监督责任，又严肃追究领导责任。今年以来，对落实责任制不力、单位发生严重腐败案件的相关领导作出了严肃处理。</w:t>
      </w:r>
    </w:p>
    <w:p>
      <w:pPr>
        <w:spacing w:line="560" w:lineRule="exact"/>
        <w:ind w:firstLine="640" w:firstLineChars="200"/>
        <w:rPr>
          <w:rFonts w:hint="eastAsia" w:ascii="仿宋_GB2312" w:hAnsi="仿宋" w:eastAsia="仿宋_GB2312"/>
          <w:kern w:val="0"/>
          <w:sz w:val="32"/>
          <w:szCs w:val="32"/>
        </w:rPr>
      </w:pPr>
      <w:r>
        <w:rPr>
          <w:rFonts w:hint="eastAsia" w:ascii="仿宋_GB2312" w:hAnsi="仿宋_GB2312" w:eastAsia="仿宋_GB2312" w:cs="仿宋_GB2312"/>
          <w:color w:val="000000"/>
          <w:kern w:val="0"/>
          <w:sz w:val="32"/>
          <w:szCs w:val="32"/>
          <w:lang w:val="en-US" w:eastAsia="zh-CN" w:bidi="ar"/>
        </w:rPr>
        <w:t xml:space="preserve"> 3、推进作风建设，促进党风、政风、民风和社风的好转。在各个重大节日，集中力量，深入商场宾馆、休闲农庄、旅游景点等场所，不间断明查暗访，严查“四风”问题，严查党员干部违规经商办企业。开展创建五星机关的督查。</w:t>
      </w:r>
      <w:r>
        <w:rPr>
          <w:rFonts w:hint="eastAsia" w:ascii="仿宋_GB2312" w:hAnsi="仿宋" w:eastAsia="仿宋_GB2312"/>
          <w:kern w:val="0"/>
          <w:sz w:val="32"/>
          <w:szCs w:val="32"/>
        </w:rPr>
        <w:t>紧紧扭住“四风”突出问题，坚持监督不松劲、检查不停顿、问责不手软，深入推进作风建设，全力优化党风政风。</w:t>
      </w:r>
    </w:p>
    <w:p>
      <w:pPr>
        <w:pStyle w:val="6"/>
        <w:spacing w:line="560" w:lineRule="exact"/>
        <w:ind w:firstLine="640" w:firstLineChars="200"/>
        <w:rPr>
          <w:rFonts w:hint="eastAsia" w:ascii="仿宋_GB2312" w:hAnsi="仿宋" w:eastAsia="仿宋_GB2312"/>
        </w:rPr>
      </w:pPr>
      <w:r>
        <w:rPr>
          <w:rFonts w:hint="eastAsia" w:ascii="楷体_GB2312" w:eastAsia="楷体_GB2312"/>
          <w:bCs/>
        </w:rPr>
        <w:t>一是有的放矢督查。</w:t>
      </w:r>
      <w:r>
        <w:rPr>
          <w:rFonts w:hint="eastAsia" w:ascii="仿宋_GB2312" w:hAnsi="仿宋" w:eastAsia="仿宋_GB2312"/>
        </w:rPr>
        <w:t>坚持</w:t>
      </w:r>
      <w:r>
        <w:rPr>
          <w:rFonts w:ascii="仿宋_GB2312" w:hAnsi="仿宋" w:eastAsia="仿宋_GB2312"/>
        </w:rPr>
        <w:t>围绕节点发力，从元旦春节到</w:t>
      </w:r>
      <w:r>
        <w:rPr>
          <w:rFonts w:hint="eastAsia" w:ascii="仿宋_GB2312" w:hAnsi="仿宋" w:eastAsia="仿宋_GB2312"/>
        </w:rPr>
        <w:t>清明五一端午中秋国庆</w:t>
      </w:r>
      <w:r>
        <w:rPr>
          <w:rFonts w:ascii="仿宋_GB2312" w:hAnsi="仿宋" w:eastAsia="仿宋_GB2312"/>
        </w:rPr>
        <w:t>，持续不断重申纪律要求，</w:t>
      </w:r>
      <w:r>
        <w:rPr>
          <w:rFonts w:hint="eastAsia" w:ascii="仿宋_GB2312" w:hAnsi="仿宋" w:eastAsia="仿宋_GB2312"/>
        </w:rPr>
        <w:t>组织开展高频率、常态化明查暗访，形成对作风问题的高压态势。组织开展了严禁党员干部工作日午间饮酒、公车夜间违规停放、收受消费购物卡、参赌涉赌、出入高消费娱乐场所等五大专项突击检查行动，发现问题线索30多个。</w:t>
      </w:r>
    </w:p>
    <w:p>
      <w:pPr>
        <w:pStyle w:val="6"/>
        <w:spacing w:line="560" w:lineRule="exact"/>
        <w:ind w:firstLine="640" w:firstLineChars="200"/>
        <w:rPr>
          <w:rFonts w:hint="eastAsia" w:ascii="仿宋_GB2312" w:hAnsi="仿宋" w:eastAsia="仿宋_GB2312"/>
        </w:rPr>
      </w:pPr>
      <w:r>
        <w:rPr>
          <w:rFonts w:hint="eastAsia" w:ascii="楷体_GB2312" w:hAnsi="仿宋" w:eastAsia="楷体_GB2312"/>
        </w:rPr>
        <w:t>二是动真碰硬查处</w:t>
      </w:r>
      <w:r>
        <w:rPr>
          <w:rFonts w:hint="eastAsia" w:ascii="仿宋_GB2312" w:hAnsi="仿宋" w:eastAsia="仿宋_GB2312"/>
        </w:rPr>
        <w:t>。查处违反中央八项规定问题17起，处理党员干部23人，其中给予党纪政纪处分6人，诫勉谈话2人，提醒谈话9人，内部通报6人。</w:t>
      </w:r>
      <w:r>
        <w:rPr>
          <w:rFonts w:hint="eastAsia" w:ascii="仿宋_GB2312" w:eastAsia="仿宋_GB2312"/>
        </w:rPr>
        <w:t>充分发挥启东效能建设“受</w:t>
      </w:r>
      <w:r>
        <w:rPr>
          <w:rFonts w:hint="eastAsia" w:ascii="仿宋_GB2312" w:hAnsi="仿宋" w:eastAsia="仿宋_GB2312"/>
        </w:rPr>
        <w:t>理投诉、明查暗访、综合考评、责任追究”一体的优势，全力查纠“懒政、庸政、慢政、乱政”等为官不为、为官乱为行为。</w:t>
      </w:r>
      <w:r>
        <w:rPr>
          <w:rFonts w:hint="eastAsia" w:ascii="仿宋_GB2312" w:hAnsi="仿宋" w:eastAsia="仿宋_GB2312"/>
          <w:lang w:val="en-US" w:eastAsia="zh-CN"/>
        </w:rPr>
        <w:t>2015年度</w:t>
      </w:r>
      <w:r>
        <w:rPr>
          <w:rFonts w:hint="eastAsia" w:ascii="仿宋_GB2312" w:hAnsi="仿宋" w:eastAsia="仿宋_GB2312"/>
        </w:rPr>
        <w:t>，共开展明查暗访385批次，向55个单位发出问题告知单269份，197名机关工作人员受到批评教育、内部通报、待岗培训等处理。</w:t>
      </w:r>
    </w:p>
    <w:p>
      <w:pPr>
        <w:spacing w:line="560" w:lineRule="exact"/>
        <w:ind w:firstLine="640" w:firstLineChars="200"/>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三是着眼长远抓制度建设。认真研判党员干部作风建设状况，及时排查、梳理、甄别苗头性、倾向性问题，出台针对性制度。2015年，先后协助市委起草《关于进一步加强党风廉政建设工作的若干意见》，明确了党员干部严禁违规借贷资金收取高额回报等廉洁自律“八项禁令”。出台了《启东市领导班子和领导干部“为官不为”问责暂行办法》，明确领导班子和领导干部存在30种不作为、慢作为、乱作为行为的，都将严厉进行问责。我们把落实问责办法作为加强作风建设的重要抓手，切实改进党员干部工作作风。开展领导干部违规经商办企业、投资企业入股分红、参与发放高利贷等问题专项排查，将全市副科级以上干部以及33个重点部门中层干部全部纳入报告范围。同时，扩大申报范围，除需申报的干部本人外，把父母、配偶及其父母、子女及其配偶全部纳入报告范围，在此基础上，按不少于10%的比例进行抽查，发现违规问题，及时处理。4月10日，省政府、省纠风办在南通举办的2015政风行风热线“四位一体”省市联动直播活动中，我市没有受到追踪曝光，作风建设继续保持良好态势。</w:t>
      </w:r>
    </w:p>
    <w:p>
      <w:pPr>
        <w:pStyle w:val="6"/>
        <w:spacing w:line="560" w:lineRule="exact"/>
        <w:ind w:firstLine="640" w:firstLineChars="200"/>
        <w:rPr>
          <w:rFonts w:hint="eastAsia" w:ascii="仿宋_GB2312" w:hAnsi="仿宋" w:eastAsia="仿宋_GB2312"/>
        </w:rPr>
      </w:pPr>
      <w:r>
        <w:rPr>
          <w:rFonts w:hint="eastAsia" w:ascii="仿宋_GB2312" w:hAnsi="仿宋_GB2312" w:eastAsia="仿宋_GB2312" w:cs="仿宋_GB2312"/>
          <w:color w:val="000000"/>
          <w:kern w:val="0"/>
          <w:sz w:val="32"/>
          <w:szCs w:val="32"/>
          <w:lang w:val="en-US" w:eastAsia="zh-CN" w:bidi="ar"/>
        </w:rPr>
        <w:t xml:space="preserve"> 4、加强了对党员干部廉洁自律意识教育，完善源头预防体系。</w:t>
      </w:r>
      <w:r>
        <w:rPr>
          <w:rFonts w:hint="eastAsia" w:ascii="仿宋_GB2312" w:hAnsi="仿宋" w:eastAsia="仿宋_GB2312"/>
        </w:rPr>
        <w:t>认真贯彻落实中央《建立健全惩治和预防腐败体系2013—2017年工作规划》，以教育引导、制度建设和约束权力为重点，努力构建具有启东特色源头预防体系，努力控制腐败增量。</w:t>
      </w:r>
    </w:p>
    <w:p>
      <w:pPr>
        <w:spacing w:line="560" w:lineRule="exact"/>
        <w:ind w:firstLine="640" w:firstLineChars="200"/>
        <w:rPr>
          <w:rFonts w:hint="eastAsia" w:ascii="仿宋_GB2312" w:eastAsia="仿宋_GB2312"/>
          <w:sz w:val="32"/>
          <w:szCs w:val="32"/>
        </w:rPr>
      </w:pPr>
      <w:r>
        <w:rPr>
          <w:rFonts w:hint="eastAsia" w:ascii="楷体_GB2312" w:hAnsi="黑体" w:eastAsia="楷体_GB2312" w:cs="宋体"/>
          <w:sz w:val="32"/>
          <w:szCs w:val="32"/>
          <w:lang w:val="zh-CN"/>
        </w:rPr>
        <w:t>一是抓教育，唤醒党章党规党纪意识。</w:t>
      </w:r>
      <w:r>
        <w:rPr>
          <w:rFonts w:hint="eastAsia" w:eastAsia="仿宋_GB2312"/>
          <w:sz w:val="32"/>
          <w:szCs w:val="32"/>
        </w:rPr>
        <w:t>以“新春第一会”形式，专题召开全市党风廉政建设暨警示教育千人大会，市四套班子领导及各镇乡、园区、街道、机关部门领导班子成员，各村党组织书记全部参加会议。会议播放发生在身边的案件警示教育片、市委书记作讲话、纪委书记案件解剖，使党员干部受到深刻的警示教育。注重教育</w:t>
      </w:r>
      <w:r>
        <w:rPr>
          <w:rFonts w:hint="eastAsia" w:ascii="仿宋_GB2312" w:eastAsia="仿宋_GB2312"/>
          <w:sz w:val="32"/>
          <w:szCs w:val="32"/>
        </w:rPr>
        <w:t>常态化。围绕唤醒党员干部党章党规党纪意识，制度化开展廉洁过节、“5.10思廉日”、“算好廉政账”、“12.9”国际反腐败日等系列教育活动，实现廉政教育月月有活动、季度有高潮。抓好中央新修订的《廉洁自律准则》和《党纪处分条例》的学习宣传工作，推动两项法规宣传贯彻全覆盖。一方面抓好纪检监察干部自身学习贯彻，另一方面，充分发挥市纪委骨干宣讲团和各单位党政主要领导、</w:t>
      </w:r>
      <w:r>
        <w:rPr>
          <w:rFonts w:hint="eastAsia" w:eastAsia="仿宋_GB2312"/>
          <w:sz w:val="32"/>
          <w:szCs w:val="32"/>
        </w:rPr>
        <w:t>纪委书记示范引领作用，开展两项法规“百人千场”专题宣讲，引导党员干部适应正风肃纪新常态，切实把党规党纪刻印在全体党员特别是党员领导干部的心上，真正实现内化于心、外化于行。实施“一把手”、纪委书记定期上廉政党课制度，引导各单位用身边的人、身边的事教育党员干部，提高教育针对性。</w:t>
      </w:r>
    </w:p>
    <w:p>
      <w:pPr>
        <w:spacing w:line="560" w:lineRule="exact"/>
        <w:ind w:firstLine="640" w:firstLineChars="200"/>
        <w:rPr>
          <w:rFonts w:hint="eastAsia" w:ascii="仿宋_GB2312" w:eastAsia="仿宋_GB2312"/>
          <w:sz w:val="32"/>
          <w:szCs w:val="32"/>
        </w:rPr>
      </w:pPr>
      <w:r>
        <w:rPr>
          <w:rFonts w:hint="eastAsia" w:ascii="楷体_GB2312" w:hAnsi="仿宋_GB2312" w:eastAsia="楷体_GB2312" w:cs="宋体"/>
          <w:kern w:val="0"/>
          <w:sz w:val="32"/>
          <w:szCs w:val="32"/>
        </w:rPr>
        <w:t>二是抓规范，筑牢制度笼子。</w:t>
      </w:r>
      <w:r>
        <w:rPr>
          <w:rFonts w:hint="eastAsia" w:ascii="仿宋_GB2312" w:eastAsia="仿宋_GB2312"/>
          <w:sz w:val="32"/>
          <w:szCs w:val="32"/>
        </w:rPr>
        <w:t>针对办案中发现的腐败现象易发多发的重点领域和关键环节，推动建立健全20多项制度。推进制度廉洁性评估工作，坚决剥去一些部门和单位利用制度扩张职权、谋取小团体利益的“合法外衣”。</w:t>
      </w:r>
      <w:r>
        <w:rPr>
          <w:rFonts w:hint="eastAsia" w:eastAsia="仿宋_GB2312"/>
          <w:sz w:val="32"/>
          <w:szCs w:val="32"/>
        </w:rPr>
        <w:t>由各农村纪检监察工作室牵头，组织开展村级党风廉政建设督导巡查，每个乡镇确定三个村，作为首批被巡查</w:t>
      </w:r>
      <w:r>
        <w:rPr>
          <w:rFonts w:hint="eastAsia" w:ascii="仿宋_GB2312" w:eastAsia="仿宋_GB2312"/>
          <w:sz w:val="32"/>
          <w:szCs w:val="32"/>
        </w:rPr>
        <w:t>对象，力争通过巡查，进一步增强基层干部拒腐防变意识。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80" w:firstLineChars="0"/>
        <w:jc w:val="both"/>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楷体_GB2312" w:eastAsia="楷体_GB2312"/>
          <w:sz w:val="32"/>
          <w:szCs w:val="32"/>
        </w:rPr>
        <w:t>三是抓监督，杜绝权力“任性”。</w:t>
      </w:r>
      <w:r>
        <w:rPr>
          <w:rFonts w:hint="eastAsia" w:ascii="仿宋_GB2312" w:eastAsia="仿宋_GB2312"/>
          <w:sz w:val="32"/>
          <w:szCs w:val="32"/>
        </w:rPr>
        <w:t>严明党的组织纪律，全力查纠组织涣散、纪律松驰现象。加大对市委市政府重大决策部署贯彻落实情况的监督检查力度，</w:t>
      </w:r>
      <w:r>
        <w:rPr>
          <w:rFonts w:hint="eastAsia" w:ascii="仿宋_GB2312" w:eastAsia="仿宋_GB2312"/>
          <w:sz w:val="32"/>
          <w:szCs w:val="32"/>
          <w:lang w:val="en-US" w:eastAsia="zh-CN"/>
        </w:rPr>
        <w:t>2015年</w:t>
      </w:r>
      <w:r>
        <w:rPr>
          <w:rFonts w:hint="eastAsia" w:ascii="仿宋_GB2312" w:eastAsia="仿宋_GB2312"/>
          <w:sz w:val="32"/>
          <w:szCs w:val="32"/>
        </w:rPr>
        <w:t>，重点对秸秆禁烧、违法用地项目拆除复耕等工作推进情况进行了50多次督查，有力促进了政令畅通。</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560" w:lineRule="exact"/>
        <w:ind w:left="0" w:leftChars="0" w:right="0" w:rightChars="0" w:firstLine="480" w:firstLineChars="200"/>
        <w:jc w:val="left"/>
        <w:textAlignment w:val="auto"/>
        <w:outlineLvl w:val="9"/>
        <w:rPr>
          <w:rFonts w:hint="eastAsia" w:ascii="仿宋_GB2312" w:eastAsia="仿宋_GB2312"/>
          <w:sz w:val="32"/>
          <w:szCs w:val="32"/>
          <w:lang w:val="en-US" w:eastAsia="zh-CN"/>
        </w:rPr>
      </w:pPr>
      <w:r>
        <w:rPr>
          <w:rFonts w:hint="eastAsia" w:ascii="仿宋_GB2312" w:hAnsi="仿宋_GB2312" w:eastAsia="仿宋_GB2312" w:cs="仿宋_GB2312"/>
          <w:b/>
          <w:bCs/>
          <w:color w:val="000000"/>
          <w:kern w:val="0"/>
          <w:sz w:val="36"/>
          <w:szCs w:val="36"/>
          <w:lang w:val="en-US" w:eastAsia="zh-CN" w:bidi="ar"/>
        </w:rPr>
        <w:t>第二部分  纪委监察局2015年度部门决算表</w:t>
      </w:r>
      <w:r>
        <w:rPr>
          <w:rFonts w:hint="eastAsia" w:ascii="仿宋_GB2312" w:hAnsi="仿宋_GB2312" w:eastAsia="仿宋_GB2312" w:cs="仿宋_GB2312"/>
          <w:color w:val="000000"/>
          <w:kern w:val="0"/>
          <w:sz w:val="32"/>
          <w:szCs w:val="32"/>
          <w:lang w:val="en-US" w:eastAsia="zh-CN" w:bidi="ar"/>
        </w:rPr>
        <w:t>(见</w:t>
      </w:r>
      <w:r>
        <w:rPr>
          <w:rFonts w:hint="eastAsia" w:ascii="仿宋_GB2312" w:eastAsia="仿宋_GB2312"/>
          <w:sz w:val="32"/>
          <w:szCs w:val="32"/>
          <w:lang w:val="en-US" w:eastAsia="zh-CN"/>
        </w:rPr>
        <w:t>附件)</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80" w:firstLineChars="0"/>
        <w:jc w:val="both"/>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2015年部门决算公开表格：</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80" w:firstLineChars="0"/>
        <w:jc w:val="both"/>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表1.2015年市本级部门收支决算总表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80" w:firstLineChars="0"/>
        <w:jc w:val="both"/>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表2.2015年市本级部门收入决算总表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80" w:firstLineChars="0"/>
        <w:jc w:val="both"/>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表3.2015年市本级部门支出决算总表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80" w:firstLineChars="0"/>
        <w:jc w:val="both"/>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表4.2015年市本级部门财政拨款收支决算总表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80" w:firstLineChars="0"/>
        <w:jc w:val="both"/>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表5.2015年市本级部门财政拨款支出情况表（功能科目）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80" w:firstLineChars="0"/>
        <w:jc w:val="both"/>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表6.2015年市本级部门财政拨款基本支出决算表（经济科目）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80" w:firstLineChars="0"/>
        <w:jc w:val="both"/>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表7.2015年市本级部门财政拨款政府性基金决算表（功能科目）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80" w:firstLineChars="0"/>
        <w:jc w:val="both"/>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表8.2015年市本级部门一般公共预算收支总表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80" w:firstLineChars="0"/>
        <w:jc w:val="both"/>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表9.2015年市本级部门一般公共预算支出决算表（功能科目）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80" w:firstLineChars="0"/>
        <w:jc w:val="both"/>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表10.2015年市本级部门一般公共预算基本支出决算表（经济科目）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80" w:firstLineChars="0"/>
        <w:jc w:val="both"/>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表11.2015年市本级部门一般公共预算机关运行经费决算表（经济科目）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80" w:firstLineChars="0"/>
        <w:jc w:val="both"/>
        <w:textAlignment w:val="auto"/>
        <w:outlineLvl w:val="9"/>
        <w:rPr>
          <w:rFonts w:hint="eastAsia" w:ascii="仿宋_GB2312" w:eastAsia="仿宋_GB2312"/>
          <w:sz w:val="32"/>
          <w:szCs w:val="32"/>
        </w:rPr>
      </w:pPr>
      <w:r>
        <w:rPr>
          <w:rFonts w:hint="eastAsia" w:ascii="仿宋_GB2312" w:eastAsia="仿宋_GB2312"/>
          <w:sz w:val="32"/>
          <w:szCs w:val="32"/>
          <w:lang w:val="en-US" w:eastAsia="zh-CN"/>
        </w:rPr>
        <w:t>表12.2015年市本级部门一般公共预算“三公”经费、会议费及培训费增减变化表</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560" w:lineRule="exact"/>
        <w:ind w:right="0" w:rightChars="0"/>
        <w:jc w:val="left"/>
        <w:textAlignment w:val="auto"/>
        <w:outlineLvl w:val="9"/>
        <w:rPr>
          <w:rFonts w:hint="eastAsia" w:ascii="仿宋_GB2312" w:hAnsi="仿宋_GB2312" w:eastAsia="仿宋_GB2312" w:cs="仿宋_GB2312"/>
          <w:b/>
          <w:bCs/>
          <w:color w:val="000000"/>
          <w:kern w:val="0"/>
          <w:sz w:val="36"/>
          <w:szCs w:val="36"/>
          <w:lang w:val="en-US" w:eastAsia="zh-CN" w:bidi="ar"/>
        </w:rPr>
      </w:pPr>
      <w:bookmarkStart w:id="0" w:name="OLE_LINK1"/>
      <w:r>
        <w:rPr>
          <w:rFonts w:hint="eastAsia" w:ascii="仿宋_GB2312" w:hAnsi="仿宋_GB2312" w:eastAsia="仿宋_GB2312" w:cs="仿宋_GB2312"/>
          <w:b/>
          <w:bCs/>
          <w:color w:val="000000"/>
          <w:kern w:val="0"/>
          <w:sz w:val="36"/>
          <w:szCs w:val="36"/>
          <w:lang w:val="en-US" w:eastAsia="zh-CN" w:bidi="ar"/>
        </w:rPr>
        <w:t xml:space="preserve">   第三部门  纪委监察局2015年度决算情况说明</w:t>
      </w:r>
    </w:p>
    <w:bookmarkEnd w:id="0"/>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jc w:val="both"/>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 xml:space="preserve">   纪委监察局2015年度收入总计2039.4万元，均为财政拔款收入，比上年增加467.79万元，增长22.94%，主要是行政运行增加429.03万元，大要案查处增加38.76万元。支出总计2039.4万元，其中:基本支出1739.28万元，占85.23%；项目支出300.12万元,占14.72%。支出总额比上年增加467.79万元，增长22.94%，其中基本支出增加429.03万元，主要是2015年增加人员12人，工资及其他费用增198.05万元，星级机关考核增加154.55万元，定额公务费增加15.6万元，2015年还涉及补发工资（2014年10月份调资）60.83万元。项目支出增加38.75万元。2015财政基本拨款1739.28万元，其中：人员经费支出1404.7万元。主要包括：基本工资315.2万元、津贴补贴583.91万元，奖金176.73万元，社会保障缴费123.11万元，伙食补助费2.52万元，其他工资福利支出8.23万元，离休费12.79万元，退休费48.64万元，生活补助费2.45万元。公用经费支出334.58万元。主要包括；办公费147.67万元、印刷费</w:t>
      </w:r>
      <w:bookmarkStart w:id="1" w:name="_GoBack"/>
      <w:r>
        <w:rPr>
          <w:rFonts w:hint="eastAsia" w:ascii="仿宋_GB2312" w:hAnsi="仿宋_GB2312" w:eastAsia="仿宋_GB2312" w:cs="仿宋_GB2312"/>
          <w:color w:val="000000"/>
          <w:kern w:val="0"/>
          <w:sz w:val="32"/>
          <w:szCs w:val="32"/>
          <w:lang w:val="en-US" w:eastAsia="zh-CN" w:bidi="ar"/>
        </w:rPr>
        <w:t>0.86万元，水费0.23万元，电费16.84万元，邮电费12.09</w:t>
      </w:r>
      <w:bookmarkEnd w:id="1"/>
      <w:r>
        <w:rPr>
          <w:rFonts w:hint="eastAsia" w:ascii="仿宋_GB2312" w:hAnsi="仿宋_GB2312" w:eastAsia="仿宋_GB2312" w:cs="仿宋_GB2312"/>
          <w:color w:val="000000"/>
          <w:kern w:val="0"/>
          <w:sz w:val="32"/>
          <w:szCs w:val="32"/>
          <w:lang w:val="en-US" w:eastAsia="zh-CN" w:bidi="ar"/>
        </w:rPr>
        <w:t>万元，物业管理费0.53万元，维修费1.1万元，会议费8.25万元，培训费2.36万元、公务接待费17.34万元，（2014年公务接待费30万元，比去年大幅度减少，主要是上级来人减少）专用材料费52.32万元、工会经费12.18万元、福利费1.99万元，公务用车运行费66.59万元（2014年公务用车运行费是80.48万元，因公务接待减少）、其他商品和服务支出4.24万元。2015年度政府采购支出总额10.67万元，截止2015年12月31日，本部门共有车辆11辆，其中公务用车4辆，一般执法执勤用车7辆。</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line="560" w:lineRule="exact"/>
        <w:ind w:left="0" w:leftChars="0" w:right="0" w:rightChars="0" w:firstLine="480" w:firstLineChars="200"/>
        <w:jc w:val="left"/>
        <w:textAlignment w:val="auto"/>
        <w:outlineLvl w:val="9"/>
        <w:rPr>
          <w:rFonts w:hint="eastAsia" w:ascii="仿宋_GB2312" w:hAnsi="仿宋_GB2312" w:eastAsia="仿宋_GB2312" w:cs="仿宋_GB2312"/>
          <w:b/>
          <w:bCs/>
          <w:color w:val="000000"/>
          <w:kern w:val="0"/>
          <w:sz w:val="36"/>
          <w:szCs w:val="36"/>
          <w:lang w:val="en-US" w:eastAsia="zh-CN" w:bidi="ar"/>
        </w:rPr>
      </w:pPr>
      <w:r>
        <w:rPr>
          <w:rFonts w:hint="eastAsia" w:ascii="仿宋_GB2312" w:hAnsi="仿宋_GB2312" w:eastAsia="仿宋_GB2312" w:cs="仿宋_GB2312"/>
          <w:b/>
          <w:bCs/>
          <w:color w:val="000000"/>
          <w:kern w:val="0"/>
          <w:sz w:val="36"/>
          <w:szCs w:val="36"/>
          <w:lang w:val="en-US" w:eastAsia="zh-CN" w:bidi="ar"/>
        </w:rPr>
        <w:t>第四部分  名词解释</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jc w:val="both"/>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eastAsia="仿宋_GB2312"/>
          <w:b/>
          <w:sz w:val="32"/>
          <w:szCs w:val="32"/>
          <w:lang w:val="en-US" w:eastAsia="zh-CN"/>
        </w:rPr>
        <w:t xml:space="preserve">    一、财政拨款收入</w:t>
      </w:r>
      <w:r>
        <w:rPr>
          <w:rFonts w:hint="eastAsia" w:ascii="仿宋_GB2312" w:hAnsi="仿宋_GB2312" w:eastAsia="仿宋_GB2312" w:cs="仿宋_GB2312"/>
          <w:color w:val="000000"/>
          <w:kern w:val="0"/>
          <w:sz w:val="32"/>
          <w:szCs w:val="32"/>
          <w:lang w:val="en-US" w:eastAsia="zh-CN" w:bidi="ar"/>
        </w:rPr>
        <w:t>：指纪委监察局从启东市财政取得的财政拨款。</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jc w:val="both"/>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eastAsia="仿宋_GB2312"/>
          <w:b/>
          <w:sz w:val="32"/>
          <w:szCs w:val="32"/>
          <w:lang w:val="en-US" w:eastAsia="zh-CN"/>
        </w:rPr>
        <w:t xml:space="preserve">    二、基本支出</w:t>
      </w:r>
      <w:r>
        <w:rPr>
          <w:rFonts w:hint="eastAsia" w:ascii="仿宋_GB2312" w:hAnsi="仿宋_GB2312" w:eastAsia="仿宋_GB2312" w:cs="仿宋_GB2312"/>
          <w:color w:val="000000"/>
          <w:kern w:val="0"/>
          <w:sz w:val="32"/>
          <w:szCs w:val="32"/>
          <w:lang w:val="en-US" w:eastAsia="zh-CN" w:bidi="ar"/>
        </w:rPr>
        <w:t>：指为保障机构正常运转、完成日常工作任务面发生的人员支出和公用支出。</w:t>
      </w:r>
    </w:p>
    <w:p>
      <w:pPr>
        <w:ind w:firstLine="643" w:firstLineChars="200"/>
        <w:rPr>
          <w:rFonts w:hint="eastAsia" w:ascii="仿宋_GB2312" w:hAnsi="仿宋_GB2312" w:eastAsia="仿宋_GB2312" w:cs="仿宋_GB2312"/>
          <w:color w:val="000000"/>
          <w:kern w:val="0"/>
          <w:sz w:val="32"/>
          <w:szCs w:val="32"/>
          <w:lang w:val="en-US" w:eastAsia="zh-CN" w:bidi="ar"/>
        </w:rPr>
      </w:pPr>
      <w:r>
        <w:rPr>
          <w:rFonts w:hint="eastAsia" w:ascii="仿宋_GB2312" w:eastAsia="仿宋_GB2312"/>
          <w:b/>
          <w:sz w:val="32"/>
          <w:szCs w:val="32"/>
          <w:lang w:val="en-US" w:eastAsia="zh-CN"/>
        </w:rPr>
        <w:t>三、项目支出</w:t>
      </w:r>
      <w:r>
        <w:rPr>
          <w:rFonts w:hint="eastAsia" w:ascii="仿宋_GB2312" w:hAnsi="仿宋_GB2312" w:eastAsia="仿宋_GB2312" w:cs="仿宋_GB2312"/>
          <w:color w:val="000000"/>
          <w:kern w:val="0"/>
          <w:sz w:val="32"/>
          <w:szCs w:val="32"/>
          <w:lang w:val="en-US" w:eastAsia="zh-CN" w:bidi="ar"/>
        </w:rPr>
        <w:t>：指在基本支出之外为完成特定的行政任务或事业发展目标所发生的支出。</w:t>
      </w:r>
    </w:p>
    <w:p>
      <w:pPr>
        <w:ind w:firstLine="643" w:firstLineChars="200"/>
        <w:rPr>
          <w:rFonts w:hint="eastAsia" w:ascii="仿宋_GB2312" w:eastAsia="仿宋_GB2312"/>
          <w:sz w:val="32"/>
          <w:szCs w:val="32"/>
        </w:rPr>
      </w:pPr>
      <w:r>
        <w:rPr>
          <w:rFonts w:hint="eastAsia" w:ascii="仿宋_GB2312" w:eastAsia="仿宋_GB2312"/>
          <w:b/>
          <w:sz w:val="32"/>
          <w:szCs w:val="32"/>
          <w:lang w:eastAsia="zh-CN"/>
        </w:rPr>
        <w:t>四、</w:t>
      </w:r>
      <w:r>
        <w:rPr>
          <w:rFonts w:hint="eastAsia" w:ascii="仿宋_GB2312" w:eastAsia="仿宋_GB2312"/>
          <w:b/>
          <w:sz w:val="32"/>
          <w:szCs w:val="32"/>
        </w:rPr>
        <w:t>“三公”经费：</w:t>
      </w:r>
      <w:r>
        <w:rPr>
          <w:rFonts w:hint="eastAsia" w:ascii="仿宋_GB2312" w:eastAsia="仿宋_GB2312"/>
          <w:sz w:val="32"/>
          <w:szCs w:val="32"/>
        </w:rPr>
        <w:t>指用一般公共预算财政拨款安排的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jc w:val="both"/>
        <w:textAlignment w:val="auto"/>
        <w:outlineLvl w:val="9"/>
        <w:rPr>
          <w:rFonts w:hint="eastAsia" w:ascii="仿宋_GB2312" w:hAnsi="仿宋_GB2312" w:eastAsia="仿宋_GB2312" w:cs="仿宋_GB2312"/>
          <w:color w:val="000000"/>
          <w:kern w:val="0"/>
          <w:sz w:val="32"/>
          <w:szCs w:val="32"/>
          <w:lang w:val="en-US" w:eastAsia="zh-CN" w:bidi="ar"/>
        </w:rPr>
      </w:pPr>
      <w:r>
        <w:rPr>
          <w:rFonts w:hint="eastAsia" w:ascii="仿宋_GB2312" w:eastAsia="仿宋_GB2312"/>
          <w:b/>
          <w:sz w:val="32"/>
          <w:szCs w:val="32"/>
          <w:lang w:val="en-US" w:eastAsia="zh-CN"/>
        </w:rPr>
        <w:t xml:space="preserve">    </w:t>
      </w:r>
      <w:r>
        <w:rPr>
          <w:rFonts w:hint="eastAsia" w:ascii="仿宋_GB2312" w:eastAsia="仿宋_GB2312"/>
          <w:b/>
          <w:sz w:val="32"/>
          <w:szCs w:val="32"/>
          <w:lang w:eastAsia="zh-CN"/>
        </w:rPr>
        <w:t>五</w:t>
      </w:r>
      <w:r>
        <w:rPr>
          <w:rFonts w:hint="eastAsia" w:ascii="仿宋_GB2312" w:eastAsia="仿宋_GB2312"/>
          <w:b/>
          <w:sz w:val="32"/>
          <w:szCs w:val="32"/>
        </w:rPr>
        <w:t>、机关运行经费：</w:t>
      </w:r>
      <w:r>
        <w:rPr>
          <w:rFonts w:hint="eastAsia" w:ascii="仿宋_GB2312" w:eastAsia="仿宋_GB2312"/>
          <w:sz w:val="32"/>
          <w:szCs w:val="32"/>
        </w:rPr>
        <w:t>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Tahoma">
    <w:panose1 w:val="020B0604030504040204"/>
    <w:charset w:val="00"/>
    <w:family w:val="swiss"/>
    <w:pitch w:val="default"/>
    <w:sig w:usb0="61007A87" w:usb1="80000000" w:usb2="00000008" w:usb3="00000000" w:csb0="200101FF" w:csb1="20280000"/>
  </w:font>
  <w:font w:name="方正小标宋简体">
    <w:altName w:val="黑体"/>
    <w:panose1 w:val="02010601030101010101"/>
    <w:charset w:val="86"/>
    <w:family w:val="auto"/>
    <w:pitch w:val="default"/>
    <w:sig w:usb0="00000000" w:usb1="00000000" w:usb2="00000010" w:usb3="00000000" w:csb0="00040000" w:csb1="00000000"/>
  </w:font>
  <w:font w:name="Lucida Sans">
    <w:altName w:val="Lucida Sans Unicode"/>
    <w:panose1 w:val="020B0602030504020204"/>
    <w:charset w:val="00"/>
    <w:family w:val="swiss"/>
    <w:pitch w:val="default"/>
    <w:sig w:usb0="00000000" w:usb1="00000000" w:usb2="00000000" w:usb3="00000000" w:csb0="00000001" w:csb1="00000000"/>
  </w:font>
  <w:font w:name="仿宋">
    <w:altName w:val="宋体"/>
    <w:panose1 w:val="02010609060101010101"/>
    <w:charset w:val="86"/>
    <w:family w:val="modern"/>
    <w:pitch w:val="default"/>
    <w:sig w:usb0="00000000" w:usb1="00000000" w:usb2="00000016" w:usb3="00000000" w:csb0="00040001" w:csb1="00000000"/>
  </w:font>
  <w:font w:name="华文楷体">
    <w:altName w:val="楷体_GB2312"/>
    <w:panose1 w:val="02010600040101010101"/>
    <w:charset w:val="86"/>
    <w:family w:val="auto"/>
    <w:pitch w:val="default"/>
    <w:sig w:usb0="00000000" w:usb1="00000000" w:usb2="00000010" w:usb3="00000000" w:csb0="0004009F" w:csb1="00000000"/>
  </w:font>
  <w:font w:name="华文仿宋">
    <w:altName w:val="仿宋_GB2312"/>
    <w:panose1 w:val="02010600040101010101"/>
    <w:charset w:val="86"/>
    <w:family w:val="auto"/>
    <w:pitch w:val="default"/>
    <w:sig w:usb0="00000000" w:usb1="00000000" w:usb2="00000010" w:usb3="00000000" w:csb0="0004009F" w:csb1="00000000"/>
  </w:font>
  <w:font w:name="Lucida Sans Unicode">
    <w:panose1 w:val="020B0602030504020204"/>
    <w:charset w:val="00"/>
    <w:family w:val="auto"/>
    <w:pitch w:val="default"/>
    <w:sig w:usb0="80001AFF" w:usb1="0000396B" w:usb2="00000000" w:usb3="00000000" w:csb0="0000003F" w:csb1="D7F70000"/>
  </w:font>
  <w:font w:name="Verdana">
    <w:panose1 w:val="020B0604030504040204"/>
    <w:charset w:val="00"/>
    <w:family w:val="auto"/>
    <w:pitch w:val="default"/>
    <w:sig w:usb0="A1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B14B67"/>
    <w:rsid w:val="04593C1D"/>
    <w:rsid w:val="058B5294"/>
    <w:rsid w:val="0D1F3102"/>
    <w:rsid w:val="17095FCC"/>
    <w:rsid w:val="18224FDB"/>
    <w:rsid w:val="1B135766"/>
    <w:rsid w:val="1C1C2B20"/>
    <w:rsid w:val="1C8337CA"/>
    <w:rsid w:val="1CAB36DF"/>
    <w:rsid w:val="26E26652"/>
    <w:rsid w:val="2CF9264A"/>
    <w:rsid w:val="441B28BD"/>
    <w:rsid w:val="454E19B5"/>
    <w:rsid w:val="4C707163"/>
    <w:rsid w:val="4E7D2AC7"/>
    <w:rsid w:val="4ED77023"/>
    <w:rsid w:val="4FC11E59"/>
    <w:rsid w:val="514F6CE1"/>
    <w:rsid w:val="655B2086"/>
    <w:rsid w:val="660029D3"/>
    <w:rsid w:val="6B0E5DAA"/>
    <w:rsid w:val="6F370EF1"/>
    <w:rsid w:val="732F3FF5"/>
    <w:rsid w:val="7B357FA3"/>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character" w:styleId="3">
    <w:name w:val="FollowedHyperlink"/>
    <w:basedOn w:val="2"/>
    <w:qFormat/>
    <w:uiPriority w:val="0"/>
    <w:rPr>
      <w:color w:val="000000"/>
      <w:u w:val="none"/>
    </w:rPr>
  </w:style>
  <w:style w:type="character" w:styleId="4">
    <w:name w:val="Hyperlink"/>
    <w:basedOn w:val="2"/>
    <w:qFormat/>
    <w:uiPriority w:val="0"/>
    <w:rPr>
      <w:color w:val="000000"/>
      <w:u w:val="none"/>
    </w:rPr>
  </w:style>
  <w:style w:type="paragraph" w:customStyle="1" w:styleId="6">
    <w:name w:val="p0"/>
    <w:basedOn w:val="1"/>
    <w:qFormat/>
    <w:uiPriority w:val="0"/>
    <w:pPr>
      <w:widowControl/>
      <w:spacing w:line="345" w:lineRule="auto"/>
      <w:ind w:left="1" w:firstLine="419"/>
    </w:pPr>
    <w:rPr>
      <w:kern w:val="0"/>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Office_10.1.0.5866_F1E327BC-269C-435d-A152-05C5408002CA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2016-09-01T01:28:00Z</cp:lastPrinted>
  <dcterms:modified xsi:type="dcterms:W3CDTF">2016-09-02T01:13:44Z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2052-10.1.0.5866</vt:lpwstr>
  </property>
</Properties>
</file>